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B2F" w:rsidRDefault="00BA6B2F">
      <w:pPr>
        <w:pStyle w:val="normal"/>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1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90"/>
        <w:gridCol w:w="6946"/>
        <w:gridCol w:w="1666"/>
      </w:tblGrid>
      <w:tr w:rsidR="00BA6B2F">
        <w:trPr>
          <w:cantSplit/>
          <w:tblHeader/>
        </w:trPr>
        <w:tc>
          <w:tcPr>
            <w:tcW w:w="1490" w:type="dxa"/>
          </w:tcPr>
          <w:p w:rsidR="00BA6B2F" w:rsidRDefault="00BA6B2F">
            <w:pPr>
              <w:pStyle w:val="normal"/>
              <w:pBdr>
                <w:top w:val="nil"/>
                <w:left w:val="nil"/>
                <w:bottom w:val="nil"/>
                <w:right w:val="nil"/>
                <w:between w:val="nil"/>
              </w:pBdr>
              <w:jc w:val="center"/>
              <w:rPr>
                <w:rFonts w:ascii="Calibri" w:eastAsia="Calibri" w:hAnsi="Calibri" w:cs="Calibri"/>
                <w:color w:val="000000"/>
                <w:sz w:val="22"/>
                <w:szCs w:val="22"/>
              </w:rPr>
            </w:pPr>
          </w:p>
        </w:tc>
        <w:tc>
          <w:tcPr>
            <w:tcW w:w="6946" w:type="dxa"/>
          </w:tcPr>
          <w:p w:rsidR="00BA6B2F" w:rsidRDefault="00433B6D">
            <w:pPr>
              <w:pStyle w:val="normal"/>
              <w:pBdr>
                <w:top w:val="nil"/>
                <w:left w:val="nil"/>
                <w:bottom w:val="nil"/>
                <w:right w:val="nil"/>
                <w:between w:val="nil"/>
              </w:pBdr>
              <w:jc w:val="center"/>
              <w:rPr>
                <w:rFonts w:ascii="Arial" w:eastAsia="Arial" w:hAnsi="Arial" w:cs="Arial"/>
                <w:color w:val="1A0DAB"/>
                <w:sz w:val="16"/>
                <w:szCs w:val="16"/>
              </w:rPr>
            </w:pPr>
            <w:r>
              <w:rPr>
                <w:rFonts w:ascii="Arial" w:eastAsia="Arial" w:hAnsi="Arial" w:cs="Arial"/>
                <w:noProof/>
                <w:color w:val="1A0DAB"/>
                <w:sz w:val="16"/>
                <w:szCs w:val="16"/>
                <w:lang w:val="it-IT"/>
              </w:rPr>
              <w:drawing>
                <wp:inline distT="0" distB="0" distL="114300" distR="114300">
                  <wp:extent cx="333375" cy="266065"/>
                  <wp:effectExtent l="0" t="0" r="0" b="0"/>
                  <wp:docPr id="3" name="image4.jpg" descr="https://encrypted-tbn3.gstatic.com/images?q=tbn:ANd9GcTR_GUI5EPyOEK6um2kyg6eACYYnj1haXG9MxGdoujDVTj1_iFcOIaXlA"/>
                  <wp:cNvGraphicFramePr/>
                  <a:graphic xmlns:a="http://schemas.openxmlformats.org/drawingml/2006/main">
                    <a:graphicData uri="http://schemas.openxmlformats.org/drawingml/2006/picture">
                      <pic:pic xmlns:pic="http://schemas.openxmlformats.org/drawingml/2006/picture">
                        <pic:nvPicPr>
                          <pic:cNvPr id="0" name="image4.jpg" descr="https://encrypted-tbn3.gstatic.com/images?q=tbn:ANd9GcTR_GUI5EPyOEK6um2kyg6eACYYnj1haXG9MxGdoujDVTj1_iFcOIaXlA"/>
                          <pic:cNvPicPr preferRelativeResize="0"/>
                        </pic:nvPicPr>
                        <pic:blipFill>
                          <a:blip r:embed="rId8"/>
                          <a:srcRect/>
                          <a:stretch>
                            <a:fillRect/>
                          </a:stretch>
                        </pic:blipFill>
                        <pic:spPr>
                          <a:xfrm>
                            <a:off x="0" y="0"/>
                            <a:ext cx="333375" cy="266065"/>
                          </a:xfrm>
                          <a:prstGeom prst="rect">
                            <a:avLst/>
                          </a:prstGeom>
                          <a:ln/>
                        </pic:spPr>
                      </pic:pic>
                    </a:graphicData>
                  </a:graphic>
                </wp:inline>
              </w:drawing>
            </w:r>
            <w:r>
              <w:rPr>
                <w:rFonts w:ascii="Arial" w:eastAsia="Arial" w:hAnsi="Arial" w:cs="Arial"/>
                <w:noProof/>
                <w:color w:val="1A0DAB"/>
                <w:sz w:val="16"/>
                <w:szCs w:val="16"/>
                <w:lang w:val="it-IT"/>
              </w:rPr>
              <w:drawing>
                <wp:inline distT="0" distB="0" distL="114300" distR="114300">
                  <wp:extent cx="257175" cy="294640"/>
                  <wp:effectExtent l="0" t="0" r="0" b="0"/>
                  <wp:docPr id="5" name="image3.jpg" descr="https://encrypted-tbn0.gstatic.com/images?q=tbn:ANd9GcTvvDl_ebnd8odiydXufOqYKv4rCuxO9y-XeLVr3KtXGuZVxhtAHkt70A"/>
                  <wp:cNvGraphicFramePr/>
                  <a:graphic xmlns:a="http://schemas.openxmlformats.org/drawingml/2006/main">
                    <a:graphicData uri="http://schemas.openxmlformats.org/drawingml/2006/picture">
                      <pic:pic xmlns:pic="http://schemas.openxmlformats.org/drawingml/2006/picture">
                        <pic:nvPicPr>
                          <pic:cNvPr id="0" name="image3.jpg" descr="https://encrypted-tbn0.gstatic.com/images?q=tbn:ANd9GcTvvDl_ebnd8odiydXufOqYKv4rCuxO9y-XeLVr3KtXGuZVxhtAHkt70A"/>
                          <pic:cNvPicPr preferRelativeResize="0"/>
                        </pic:nvPicPr>
                        <pic:blipFill>
                          <a:blip r:embed="rId9"/>
                          <a:srcRect/>
                          <a:stretch>
                            <a:fillRect/>
                          </a:stretch>
                        </pic:blipFill>
                        <pic:spPr>
                          <a:xfrm>
                            <a:off x="0" y="0"/>
                            <a:ext cx="257175" cy="294640"/>
                          </a:xfrm>
                          <a:prstGeom prst="rect">
                            <a:avLst/>
                          </a:prstGeom>
                          <a:ln/>
                        </pic:spPr>
                      </pic:pic>
                    </a:graphicData>
                  </a:graphic>
                </wp:inline>
              </w:drawing>
            </w:r>
            <w:r>
              <w:rPr>
                <w:rFonts w:ascii="Arial" w:eastAsia="Arial" w:hAnsi="Arial" w:cs="Arial"/>
                <w:noProof/>
                <w:color w:val="1A0DAB"/>
                <w:sz w:val="16"/>
                <w:szCs w:val="16"/>
                <w:lang w:val="it-IT"/>
              </w:rPr>
              <w:drawing>
                <wp:inline distT="0" distB="0" distL="114300" distR="114300">
                  <wp:extent cx="400050" cy="266065"/>
                  <wp:effectExtent l="0" t="0" r="0" b="0"/>
                  <wp:docPr id="4" name="image2.png" descr="https://encrypted-tbn0.gstatic.com/images?q=tbn:ANd9GcRQa4AbY2jZfcTg4OuX6XQLSjLpy95-BAzjbZ8pHZhl1yzi16mQ-fOr80s"/>
                  <wp:cNvGraphicFramePr/>
                  <a:graphic xmlns:a="http://schemas.openxmlformats.org/drawingml/2006/main">
                    <a:graphicData uri="http://schemas.openxmlformats.org/drawingml/2006/picture">
                      <pic:pic xmlns:pic="http://schemas.openxmlformats.org/drawingml/2006/picture">
                        <pic:nvPicPr>
                          <pic:cNvPr id="0" name="image2.png" descr="https://encrypted-tbn0.gstatic.com/images?q=tbn:ANd9GcRQa4AbY2jZfcTg4OuX6XQLSjLpy95-BAzjbZ8pHZhl1yzi16mQ-fOr80s"/>
                          <pic:cNvPicPr preferRelativeResize="0"/>
                        </pic:nvPicPr>
                        <pic:blipFill>
                          <a:blip r:embed="rId10"/>
                          <a:srcRect/>
                          <a:stretch>
                            <a:fillRect/>
                          </a:stretch>
                        </pic:blipFill>
                        <pic:spPr>
                          <a:xfrm>
                            <a:off x="0" y="0"/>
                            <a:ext cx="400050" cy="266065"/>
                          </a:xfrm>
                          <a:prstGeom prst="rect">
                            <a:avLst/>
                          </a:prstGeom>
                          <a:ln/>
                        </pic:spPr>
                      </pic:pic>
                    </a:graphicData>
                  </a:graphic>
                </wp:inline>
              </w:drawing>
            </w:r>
          </w:p>
        </w:tc>
        <w:tc>
          <w:tcPr>
            <w:tcW w:w="1666" w:type="dxa"/>
          </w:tcPr>
          <w:p w:rsidR="00BA6B2F" w:rsidRDefault="00BA6B2F">
            <w:pPr>
              <w:pStyle w:val="normal"/>
              <w:pBdr>
                <w:top w:val="nil"/>
                <w:left w:val="nil"/>
                <w:bottom w:val="nil"/>
                <w:right w:val="nil"/>
                <w:between w:val="nil"/>
              </w:pBdr>
              <w:rPr>
                <w:rFonts w:ascii="Calibri" w:eastAsia="Calibri" w:hAnsi="Calibri" w:cs="Calibri"/>
                <w:color w:val="000000"/>
                <w:sz w:val="22"/>
                <w:szCs w:val="22"/>
              </w:rPr>
            </w:pPr>
          </w:p>
        </w:tc>
      </w:tr>
      <w:tr w:rsidR="00BA6B2F">
        <w:trPr>
          <w:cantSplit/>
          <w:tblHeader/>
        </w:trPr>
        <w:tc>
          <w:tcPr>
            <w:tcW w:w="1490" w:type="dxa"/>
          </w:tcPr>
          <w:p w:rsidR="00BA6B2F" w:rsidRDefault="00433B6D">
            <w:pPr>
              <w:pStyle w:val="normal"/>
              <w:pBdr>
                <w:top w:val="nil"/>
                <w:left w:val="nil"/>
                <w:bottom w:val="nil"/>
                <w:right w:val="nil"/>
                <w:between w:val="nil"/>
              </w:pBdr>
              <w:jc w:val="center"/>
              <w:rPr>
                <w:rFonts w:ascii="Calibri" w:eastAsia="Calibri" w:hAnsi="Calibri" w:cs="Calibri"/>
                <w:color w:val="000000"/>
                <w:sz w:val="22"/>
                <w:szCs w:val="22"/>
              </w:rPr>
            </w:pPr>
            <w:r>
              <w:rPr>
                <w:noProof/>
                <w:lang w:val="it-IT"/>
              </w:rPr>
              <w:drawing>
                <wp:anchor distT="0" distB="0" distL="114300" distR="114300" simplePos="0" relativeHeight="251658240" behindDoc="0" locked="0" layoutInCell="1" allowOverlap="1">
                  <wp:simplePos x="0" y="0"/>
                  <wp:positionH relativeFrom="column">
                    <wp:posOffset>755016</wp:posOffset>
                  </wp:positionH>
                  <wp:positionV relativeFrom="paragraph">
                    <wp:posOffset>104775</wp:posOffset>
                  </wp:positionV>
                  <wp:extent cx="771525" cy="43815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771525" cy="438150"/>
                          </a:xfrm>
                          <a:prstGeom prst="rect">
                            <a:avLst/>
                          </a:prstGeom>
                          <a:ln/>
                        </pic:spPr>
                      </pic:pic>
                    </a:graphicData>
                  </a:graphic>
                </wp:anchor>
              </w:drawing>
            </w:r>
          </w:p>
        </w:tc>
        <w:tc>
          <w:tcPr>
            <w:tcW w:w="6946" w:type="dxa"/>
          </w:tcPr>
          <w:p w:rsidR="00BA6B2F" w:rsidRDefault="00433B6D">
            <w:pPr>
              <w:pStyle w:val="normal"/>
              <w:keepNext/>
              <w:pBdr>
                <w:top w:val="nil"/>
                <w:left w:val="nil"/>
                <w:bottom w:val="nil"/>
                <w:right w:val="nil"/>
                <w:between w:val="nil"/>
              </w:pBdr>
              <w:jc w:val="center"/>
              <w:rPr>
                <w:rFonts w:ascii="Bookman Old Style" w:eastAsia="Bookman Old Style" w:hAnsi="Bookman Old Style" w:cs="Bookman Old Style"/>
                <w:color w:val="000000"/>
                <w:sz w:val="12"/>
                <w:szCs w:val="12"/>
              </w:rPr>
            </w:pPr>
            <w:r>
              <w:rPr>
                <w:rFonts w:ascii="Bookman Old Style" w:eastAsia="Bookman Old Style" w:hAnsi="Bookman Old Style" w:cs="Bookman Old Style"/>
                <w:b/>
                <w:bCs/>
                <w:color w:val="000000"/>
                <w:sz w:val="12"/>
                <w:szCs w:val="12"/>
              </w:rPr>
              <w:t>MIUR USR CALABRIA</w:t>
            </w:r>
          </w:p>
          <w:p w:rsidR="00BA6B2F" w:rsidRDefault="00433B6D">
            <w:pPr>
              <w:pStyle w:val="normal"/>
              <w:keepNext/>
              <w:pBdr>
                <w:top w:val="nil"/>
                <w:left w:val="nil"/>
                <w:bottom w:val="nil"/>
                <w:right w:val="nil"/>
                <w:between w:val="nil"/>
              </w:pBdr>
              <w:jc w:val="center"/>
              <w:rPr>
                <w:rFonts w:ascii="Bookman Old Style" w:eastAsia="Bookman Old Style" w:hAnsi="Bookman Old Style" w:cs="Bookman Old Style"/>
                <w:color w:val="000000"/>
                <w:sz w:val="12"/>
                <w:szCs w:val="12"/>
              </w:rPr>
            </w:pPr>
            <w:r>
              <w:rPr>
                <w:rFonts w:ascii="Bookman Old Style" w:eastAsia="Bookman Old Style" w:hAnsi="Bookman Old Style" w:cs="Bookman Old Style"/>
                <w:b/>
                <w:bCs/>
                <w:color w:val="000000"/>
                <w:sz w:val="12"/>
                <w:szCs w:val="12"/>
              </w:rPr>
              <w:t>Distretto Scolastico n. 17 di Amantea (CS)</w:t>
            </w:r>
          </w:p>
          <w:p w:rsidR="00BA6B2F" w:rsidRDefault="00433B6D">
            <w:pPr>
              <w:pStyle w:val="normal"/>
              <w:keepNext/>
              <w:pBdr>
                <w:top w:val="nil"/>
                <w:left w:val="nil"/>
                <w:bottom w:val="nil"/>
                <w:right w:val="nil"/>
                <w:between w:val="nil"/>
              </w:pBdr>
              <w:jc w:val="center"/>
              <w:rPr>
                <w:rFonts w:ascii="Bookman Old Style" w:eastAsia="Bookman Old Style" w:hAnsi="Bookman Old Style" w:cs="Bookman Old Style"/>
                <w:color w:val="000000"/>
                <w:sz w:val="12"/>
                <w:szCs w:val="12"/>
              </w:rPr>
            </w:pPr>
            <w:r>
              <w:rPr>
                <w:rFonts w:ascii="Bookman Old Style" w:eastAsia="Bookman Old Style" w:hAnsi="Bookman Old Style" w:cs="Bookman Old Style"/>
                <w:b/>
                <w:bCs/>
                <w:color w:val="000000"/>
                <w:sz w:val="12"/>
                <w:szCs w:val="12"/>
              </w:rPr>
              <w:t>I</w:t>
            </w:r>
            <w:r>
              <w:rPr>
                <w:rFonts w:ascii="Bookman Old Style" w:eastAsia="Bookman Old Style" w:hAnsi="Bookman Old Style" w:cs="Bookman Old Style"/>
                <w:b/>
                <w:bCs/>
                <w:smallCaps/>
                <w:color w:val="000000"/>
                <w:sz w:val="12"/>
                <w:szCs w:val="12"/>
              </w:rPr>
              <w:t>STITUTO</w:t>
            </w:r>
            <w:r>
              <w:rPr>
                <w:rFonts w:ascii="Bookman Old Style" w:eastAsia="Bookman Old Style" w:hAnsi="Bookman Old Style" w:cs="Bookman Old Style"/>
                <w:b/>
                <w:bCs/>
                <w:color w:val="000000"/>
                <w:sz w:val="12"/>
                <w:szCs w:val="12"/>
              </w:rPr>
              <w:t xml:space="preserve">   DI  ISTRUZIONE  SUPERIORE</w:t>
            </w:r>
          </w:p>
          <w:p w:rsidR="00BA6B2F" w:rsidRDefault="00433B6D">
            <w:pPr>
              <w:pStyle w:val="normal"/>
              <w:keepNext/>
              <w:pBdr>
                <w:top w:val="nil"/>
                <w:left w:val="nil"/>
                <w:bottom w:val="nil"/>
                <w:right w:val="nil"/>
                <w:between w:val="nil"/>
              </w:pBdr>
              <w:jc w:val="center"/>
              <w:rPr>
                <w:rFonts w:ascii="Bookman Old Style" w:eastAsia="Bookman Old Style" w:hAnsi="Bookman Old Style" w:cs="Bookman Old Style"/>
                <w:color w:val="000000"/>
                <w:sz w:val="12"/>
                <w:szCs w:val="12"/>
              </w:rPr>
            </w:pPr>
            <w:r>
              <w:rPr>
                <w:rFonts w:ascii="Bookman Old Style" w:eastAsia="Bookman Old Style" w:hAnsi="Bookman Old Style" w:cs="Bookman Old Style"/>
                <w:b/>
                <w:bCs/>
                <w:color w:val="000000"/>
                <w:sz w:val="12"/>
                <w:szCs w:val="12"/>
              </w:rPr>
              <w:t>Licei : Scientifico – Scienze Umane – Scienze Applicate</w:t>
            </w:r>
          </w:p>
          <w:p w:rsidR="00BA6B2F" w:rsidRDefault="00433B6D">
            <w:pPr>
              <w:pStyle w:val="normal"/>
              <w:keepNext/>
              <w:pBdr>
                <w:top w:val="nil"/>
                <w:left w:val="nil"/>
                <w:bottom w:val="nil"/>
                <w:right w:val="nil"/>
                <w:between w:val="nil"/>
              </w:pBdr>
              <w:jc w:val="center"/>
              <w:rPr>
                <w:rFonts w:ascii="Bookman Old Style" w:eastAsia="Bookman Old Style" w:hAnsi="Bookman Old Style" w:cs="Bookman Old Style"/>
                <w:color w:val="000000"/>
                <w:sz w:val="12"/>
                <w:szCs w:val="12"/>
              </w:rPr>
            </w:pPr>
            <w:r>
              <w:rPr>
                <w:rFonts w:ascii="Bookman Old Style" w:eastAsia="Bookman Old Style" w:hAnsi="Bookman Old Style" w:cs="Bookman Old Style"/>
                <w:b/>
                <w:bCs/>
                <w:color w:val="000000"/>
                <w:sz w:val="12"/>
                <w:szCs w:val="12"/>
              </w:rPr>
              <w:t xml:space="preserve">Istituto Professionale: Odontotecnico </w:t>
            </w:r>
          </w:p>
          <w:p w:rsidR="00BA6B2F" w:rsidRDefault="00433B6D">
            <w:pPr>
              <w:pStyle w:val="normal"/>
              <w:pBdr>
                <w:top w:val="nil"/>
                <w:left w:val="nil"/>
                <w:bottom w:val="nil"/>
                <w:right w:val="nil"/>
                <w:between w:val="nil"/>
              </w:pBdr>
              <w:jc w:val="center"/>
              <w:rPr>
                <w:rFonts w:ascii="Bookman Old Style" w:eastAsia="Bookman Old Style" w:hAnsi="Bookman Old Style" w:cs="Bookman Old Style"/>
                <w:color w:val="000000"/>
                <w:sz w:val="12"/>
                <w:szCs w:val="12"/>
              </w:rPr>
            </w:pPr>
            <w:r>
              <w:rPr>
                <w:rFonts w:ascii="Bookman Old Style" w:eastAsia="Bookman Old Style" w:hAnsi="Bookman Old Style" w:cs="Bookman Old Style"/>
                <w:b/>
                <w:bCs/>
                <w:color w:val="000000"/>
                <w:sz w:val="12"/>
                <w:szCs w:val="12"/>
              </w:rPr>
              <w:t>Istituto Tecnico: Chimica, M. e.B.  – Amm.Fin.Marketing – Meccanico</w:t>
            </w:r>
          </w:p>
          <w:p w:rsidR="00BA6B2F" w:rsidRDefault="00433B6D">
            <w:pPr>
              <w:pStyle w:val="normal"/>
              <w:keepNext/>
              <w:pBdr>
                <w:top w:val="nil"/>
                <w:left w:val="nil"/>
                <w:bottom w:val="nil"/>
                <w:right w:val="nil"/>
                <w:between w:val="nil"/>
              </w:pBdr>
              <w:jc w:val="center"/>
              <w:rPr>
                <w:rFonts w:ascii="Bookman Old Style" w:eastAsia="Bookman Old Style" w:hAnsi="Bookman Old Style" w:cs="Bookman Old Style"/>
                <w:color w:val="000000"/>
                <w:sz w:val="12"/>
                <w:szCs w:val="12"/>
                <w:u w:val="single"/>
              </w:rPr>
            </w:pPr>
            <w:r>
              <w:rPr>
                <w:rFonts w:ascii="Bookman Old Style" w:eastAsia="Bookman Old Style" w:hAnsi="Bookman Old Style" w:cs="Bookman Old Style"/>
                <w:b/>
                <w:bCs/>
                <w:color w:val="000000"/>
                <w:sz w:val="12"/>
                <w:szCs w:val="12"/>
              </w:rPr>
              <w:t xml:space="preserve">Via S.Antonio – Loc. S.Procopio - 87032  </w:t>
            </w:r>
            <w:r>
              <w:rPr>
                <w:rFonts w:ascii="Bookman Old Style" w:eastAsia="Bookman Old Style" w:hAnsi="Bookman Old Style" w:cs="Bookman Old Style"/>
                <w:b/>
                <w:bCs/>
                <w:color w:val="000000"/>
                <w:sz w:val="12"/>
                <w:szCs w:val="12"/>
                <w:u w:val="single"/>
              </w:rPr>
              <w:t xml:space="preserve">AMANTEA </w:t>
            </w:r>
            <w:r>
              <w:rPr>
                <w:rFonts w:ascii="Bookman Old Style" w:eastAsia="Bookman Old Style" w:hAnsi="Bookman Old Style" w:cs="Bookman Old Style"/>
                <w:b/>
                <w:bCs/>
                <w:color w:val="000000"/>
                <w:sz w:val="12"/>
                <w:szCs w:val="12"/>
              </w:rPr>
              <w:t>(CS)</w:t>
            </w:r>
          </w:p>
          <w:p w:rsidR="00BA6B2F" w:rsidRDefault="00433B6D">
            <w:pPr>
              <w:pStyle w:val="normal"/>
              <w:pBdr>
                <w:top w:val="nil"/>
                <w:left w:val="nil"/>
                <w:bottom w:val="nil"/>
                <w:right w:val="nil"/>
                <w:between w:val="nil"/>
              </w:pBdr>
              <w:rPr>
                <w:rFonts w:ascii="Bookman Old Style" w:eastAsia="Bookman Old Style" w:hAnsi="Bookman Old Style" w:cs="Bookman Old Style"/>
                <w:color w:val="000000"/>
                <w:sz w:val="12"/>
                <w:szCs w:val="12"/>
              </w:rPr>
            </w:pPr>
            <w:r>
              <w:rPr>
                <w:rFonts w:ascii="Noto Sans Symbols" w:eastAsia="Noto Sans Symbols" w:hAnsi="Noto Sans Symbols" w:cs="Noto Sans Symbols"/>
                <w:b/>
                <w:bCs/>
                <w:color w:val="000000"/>
                <w:sz w:val="12"/>
                <w:szCs w:val="12"/>
              </w:rPr>
              <w:t>🕿</w:t>
            </w:r>
            <w:r>
              <w:rPr>
                <w:rFonts w:ascii="Bookman Old Style" w:eastAsia="Bookman Old Style" w:hAnsi="Bookman Old Style" w:cs="Bookman Old Style"/>
                <w:b/>
                <w:bCs/>
                <w:color w:val="000000"/>
                <w:sz w:val="12"/>
                <w:szCs w:val="12"/>
              </w:rPr>
              <w:t xml:space="preserve"> Centralino  0982/ 41969 – Sito:www.iispoloamantea.edu.it E-mail: </w:t>
            </w:r>
            <w:hyperlink r:id="rId12">
              <w:r>
                <w:rPr>
                  <w:rFonts w:ascii="Bookman Old Style" w:eastAsia="Bookman Old Style" w:hAnsi="Bookman Old Style" w:cs="Bookman Old Style"/>
                  <w:b/>
                  <w:bCs/>
                  <w:color w:val="0000FF"/>
                  <w:sz w:val="12"/>
                  <w:szCs w:val="12"/>
                  <w:u w:val="single"/>
                </w:rPr>
                <w:t>CSIS014008@istruzione.it</w:t>
              </w:r>
            </w:hyperlink>
          </w:p>
          <w:p w:rsidR="00BA6B2F" w:rsidRDefault="00433B6D">
            <w:pPr>
              <w:pStyle w:val="normal"/>
              <w:pBdr>
                <w:top w:val="nil"/>
                <w:left w:val="nil"/>
                <w:bottom w:val="nil"/>
                <w:right w:val="nil"/>
                <w:between w:val="nil"/>
              </w:pBdr>
              <w:jc w:val="center"/>
              <w:rPr>
                <w:rFonts w:ascii="Bookman Old Style" w:eastAsia="Bookman Old Style" w:hAnsi="Bookman Old Style" w:cs="Bookman Old Style"/>
                <w:color w:val="000000"/>
                <w:sz w:val="12"/>
                <w:szCs w:val="12"/>
              </w:rPr>
            </w:pPr>
            <w:r>
              <w:rPr>
                <w:rFonts w:ascii="Bookman Old Style" w:eastAsia="Bookman Old Style" w:hAnsi="Bookman Old Style" w:cs="Bookman Old Style"/>
                <w:b/>
                <w:bCs/>
                <w:color w:val="000000"/>
                <w:sz w:val="12"/>
                <w:szCs w:val="12"/>
              </w:rPr>
              <w:t>Posta. Cert.:</w:t>
            </w:r>
            <w:r>
              <w:rPr>
                <w:rFonts w:ascii="Bookman Old Style" w:eastAsia="Bookman Old Style" w:hAnsi="Bookman Old Style" w:cs="Bookman Old Style"/>
                <w:b/>
                <w:bCs/>
                <w:color w:val="0000FF"/>
                <w:sz w:val="12"/>
                <w:szCs w:val="12"/>
              </w:rPr>
              <w:t xml:space="preserve"> </w:t>
            </w:r>
            <w:hyperlink r:id="rId13">
              <w:r>
                <w:rPr>
                  <w:rFonts w:ascii="Bookman Old Style" w:eastAsia="Bookman Old Style" w:hAnsi="Bookman Old Style" w:cs="Bookman Old Style"/>
                  <w:b/>
                  <w:bCs/>
                  <w:color w:val="0000FF"/>
                  <w:sz w:val="12"/>
                  <w:szCs w:val="12"/>
                  <w:u w:val="single"/>
                </w:rPr>
                <w:t>CSIS014008@pec.istruzione.it</w:t>
              </w:r>
            </w:hyperlink>
          </w:p>
          <w:p w:rsidR="00BA6B2F" w:rsidRDefault="00433B6D">
            <w:pPr>
              <w:pStyle w:val="normal"/>
              <w:pBdr>
                <w:top w:val="nil"/>
                <w:left w:val="nil"/>
                <w:bottom w:val="nil"/>
                <w:right w:val="nil"/>
                <w:between w:val="nil"/>
              </w:pBdr>
              <w:jc w:val="center"/>
              <w:rPr>
                <w:rFonts w:ascii="Calibri" w:eastAsia="Calibri" w:hAnsi="Calibri" w:cs="Calibri"/>
                <w:color w:val="000000"/>
                <w:sz w:val="16"/>
                <w:szCs w:val="16"/>
              </w:rPr>
            </w:pPr>
            <w:r>
              <w:rPr>
                <w:rFonts w:ascii="Calibri" w:eastAsia="Calibri" w:hAnsi="Calibri" w:cs="Calibri"/>
                <w:b/>
                <w:bCs/>
                <w:color w:val="000000"/>
                <w:sz w:val="12"/>
                <w:szCs w:val="12"/>
              </w:rPr>
              <w:t>Codice Fiscale 86002100781</w:t>
            </w:r>
          </w:p>
        </w:tc>
        <w:tc>
          <w:tcPr>
            <w:tcW w:w="1666" w:type="dxa"/>
          </w:tcPr>
          <w:p w:rsidR="00BA6B2F" w:rsidRDefault="00433B6D">
            <w:pPr>
              <w:pStyle w:val="normal"/>
              <w:pBdr>
                <w:top w:val="nil"/>
                <w:left w:val="nil"/>
                <w:bottom w:val="nil"/>
                <w:right w:val="nil"/>
                <w:between w:val="nil"/>
              </w:pBdr>
              <w:jc w:val="center"/>
              <w:rPr>
                <w:rFonts w:ascii="Calibri" w:eastAsia="Calibri" w:hAnsi="Calibri" w:cs="Calibri"/>
                <w:color w:val="000000"/>
                <w:sz w:val="22"/>
                <w:szCs w:val="22"/>
              </w:rPr>
            </w:pPr>
            <w:r>
              <w:rPr>
                <w:noProof/>
                <w:lang w:val="it-IT"/>
              </w:rPr>
              <w:drawing>
                <wp:anchor distT="0" distB="0" distL="114300" distR="114300" simplePos="0" relativeHeight="251659264" behindDoc="0" locked="0" layoutInCell="1" allowOverlap="1">
                  <wp:simplePos x="0" y="0"/>
                  <wp:positionH relativeFrom="column">
                    <wp:posOffset>960754</wp:posOffset>
                  </wp:positionH>
                  <wp:positionV relativeFrom="paragraph">
                    <wp:posOffset>180975</wp:posOffset>
                  </wp:positionV>
                  <wp:extent cx="421640" cy="381000"/>
                  <wp:effectExtent l="0" t="0" r="0" b="0"/>
                  <wp:wrapSquare wrapText="bothSides" distT="0" distB="0" distL="114300" distR="11430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421640" cy="381000"/>
                          </a:xfrm>
                          <a:prstGeom prst="rect">
                            <a:avLst/>
                          </a:prstGeom>
                          <a:ln/>
                        </pic:spPr>
                      </pic:pic>
                    </a:graphicData>
                  </a:graphic>
                </wp:anchor>
              </w:drawing>
            </w:r>
          </w:p>
        </w:tc>
      </w:tr>
    </w:tbl>
    <w:p w:rsidR="00BA6B2F" w:rsidRDefault="00433B6D">
      <w:pPr>
        <w:pStyle w:val="normal"/>
        <w:pBdr>
          <w:top w:val="nil"/>
          <w:left w:val="nil"/>
          <w:bottom w:val="nil"/>
          <w:right w:val="nil"/>
          <w:between w:val="nil"/>
        </w:pBdr>
        <w:spacing w:after="200" w:line="276" w:lineRule="auto"/>
        <w:rPr>
          <w:color w:val="000000"/>
          <w:sz w:val="24"/>
          <w:szCs w:val="24"/>
        </w:rPr>
      </w:pPr>
      <w:r>
        <w:rPr>
          <w:color w:val="000000"/>
          <w:sz w:val="24"/>
          <w:szCs w:val="24"/>
        </w:rPr>
        <w:t>Prot. n.</w:t>
      </w:r>
      <w:r>
        <w:rPr>
          <w:b/>
          <w:bCs/>
          <w:color w:val="333333"/>
          <w:sz w:val="24"/>
          <w:szCs w:val="24"/>
        </w:rPr>
        <w:t xml:space="preserve"> </w:t>
      </w:r>
      <w:r>
        <w:rPr>
          <w:b/>
          <w:bCs/>
          <w:color w:val="000000"/>
          <w:sz w:val="24"/>
          <w:szCs w:val="24"/>
        </w:rPr>
        <w:t>000</w:t>
      </w:r>
      <w:r>
        <w:rPr>
          <w:b/>
          <w:bCs/>
          <w:sz w:val="24"/>
          <w:szCs w:val="24"/>
        </w:rPr>
        <w:t>5</w:t>
      </w:r>
      <w:r w:rsidR="00EA6807">
        <w:rPr>
          <w:b/>
          <w:bCs/>
          <w:sz w:val="24"/>
          <w:szCs w:val="24"/>
        </w:rPr>
        <w:t>080</w:t>
      </w:r>
      <w:r>
        <w:rPr>
          <w:b/>
          <w:bCs/>
          <w:i/>
          <w:iCs/>
          <w:color w:val="333333"/>
          <w:sz w:val="24"/>
          <w:szCs w:val="24"/>
        </w:rPr>
        <w:t xml:space="preserve"> </w:t>
      </w:r>
      <w:r>
        <w:rPr>
          <w:b/>
          <w:bCs/>
          <w:i/>
          <w:iCs/>
          <w:color w:val="000000"/>
          <w:sz w:val="24"/>
          <w:szCs w:val="24"/>
        </w:rPr>
        <w:t>I.1                                                                 Amantea, 0</w:t>
      </w:r>
      <w:r>
        <w:rPr>
          <w:b/>
          <w:bCs/>
          <w:i/>
          <w:iCs/>
          <w:sz w:val="24"/>
          <w:szCs w:val="24"/>
        </w:rPr>
        <w:t>1</w:t>
      </w:r>
      <w:r>
        <w:rPr>
          <w:b/>
          <w:bCs/>
          <w:i/>
          <w:iCs/>
          <w:color w:val="000000"/>
          <w:sz w:val="24"/>
          <w:szCs w:val="24"/>
        </w:rPr>
        <w:t xml:space="preserve"> settembre 202</w:t>
      </w:r>
      <w:r>
        <w:rPr>
          <w:b/>
          <w:bCs/>
          <w:i/>
          <w:iCs/>
          <w:sz w:val="24"/>
          <w:szCs w:val="24"/>
        </w:rPr>
        <w:t>6</w:t>
      </w:r>
    </w:p>
    <w:p w:rsidR="00BA6B2F" w:rsidRDefault="00433B6D">
      <w:pPr>
        <w:pStyle w:val="normal"/>
        <w:pBdr>
          <w:top w:val="nil"/>
          <w:left w:val="nil"/>
          <w:bottom w:val="nil"/>
          <w:right w:val="nil"/>
          <w:between w:val="nil"/>
        </w:pBdr>
        <w:spacing w:before="120" w:after="120"/>
        <w:jc w:val="right"/>
        <w:rPr>
          <w:color w:val="000000"/>
          <w:sz w:val="24"/>
          <w:szCs w:val="24"/>
        </w:rPr>
      </w:pPr>
      <w:r>
        <w:rPr>
          <w:color w:val="000000"/>
          <w:sz w:val="24"/>
          <w:szCs w:val="24"/>
        </w:rPr>
        <w:t>Agli esercenti la responsabilità genitoriale</w:t>
      </w:r>
    </w:p>
    <w:p w:rsidR="00BA6B2F" w:rsidRDefault="00433B6D">
      <w:pPr>
        <w:pStyle w:val="normal"/>
        <w:pBdr>
          <w:top w:val="nil"/>
          <w:left w:val="nil"/>
          <w:bottom w:val="nil"/>
          <w:right w:val="nil"/>
          <w:between w:val="nil"/>
        </w:pBdr>
        <w:spacing w:before="120" w:after="120"/>
        <w:jc w:val="right"/>
        <w:rPr>
          <w:color w:val="000000"/>
          <w:sz w:val="24"/>
          <w:szCs w:val="24"/>
        </w:rPr>
      </w:pPr>
      <w:r>
        <w:rPr>
          <w:color w:val="000000"/>
          <w:sz w:val="24"/>
          <w:szCs w:val="24"/>
        </w:rPr>
        <w:t>Al presidente del C. di I.</w:t>
      </w:r>
    </w:p>
    <w:p w:rsidR="00BA6B2F" w:rsidRDefault="00433B6D">
      <w:pPr>
        <w:pStyle w:val="normal"/>
        <w:pBdr>
          <w:top w:val="nil"/>
          <w:left w:val="nil"/>
          <w:bottom w:val="nil"/>
          <w:right w:val="nil"/>
          <w:between w:val="nil"/>
        </w:pBdr>
        <w:spacing w:before="120" w:after="120"/>
        <w:jc w:val="right"/>
        <w:rPr>
          <w:color w:val="000000"/>
          <w:sz w:val="24"/>
          <w:szCs w:val="24"/>
        </w:rPr>
      </w:pPr>
      <w:r>
        <w:rPr>
          <w:color w:val="000000"/>
          <w:sz w:val="24"/>
          <w:szCs w:val="24"/>
        </w:rPr>
        <w:t>A tutto il personale dell’I.I.S. di Amantea</w:t>
      </w:r>
    </w:p>
    <w:p w:rsidR="00BA6B2F" w:rsidRDefault="00433B6D">
      <w:pPr>
        <w:pStyle w:val="normal"/>
        <w:pBdr>
          <w:top w:val="nil"/>
          <w:left w:val="nil"/>
          <w:bottom w:val="nil"/>
          <w:right w:val="nil"/>
          <w:between w:val="nil"/>
        </w:pBdr>
        <w:spacing w:before="120" w:after="120"/>
        <w:jc w:val="right"/>
        <w:rPr>
          <w:color w:val="000000"/>
          <w:sz w:val="24"/>
          <w:szCs w:val="24"/>
        </w:rPr>
      </w:pPr>
      <w:r>
        <w:rPr>
          <w:color w:val="000000"/>
          <w:sz w:val="24"/>
          <w:szCs w:val="24"/>
        </w:rPr>
        <w:t>Al sito della scuola</w:t>
      </w:r>
    </w:p>
    <w:p w:rsidR="00BA6B2F" w:rsidRDefault="00433B6D">
      <w:pPr>
        <w:pStyle w:val="normal"/>
        <w:pBdr>
          <w:top w:val="nil"/>
          <w:left w:val="nil"/>
          <w:bottom w:val="nil"/>
          <w:right w:val="nil"/>
          <w:between w:val="nil"/>
        </w:pBdr>
        <w:spacing w:before="120" w:after="120"/>
        <w:jc w:val="right"/>
        <w:rPr>
          <w:color w:val="000000"/>
          <w:sz w:val="24"/>
          <w:szCs w:val="24"/>
        </w:rPr>
      </w:pPr>
      <w:r>
        <w:rPr>
          <w:color w:val="000000"/>
          <w:sz w:val="24"/>
          <w:szCs w:val="24"/>
        </w:rPr>
        <w:t>In atti</w:t>
      </w:r>
    </w:p>
    <w:p w:rsidR="00BA6B2F" w:rsidRDefault="00433B6D">
      <w:pPr>
        <w:pStyle w:val="normal"/>
        <w:pBdr>
          <w:top w:val="nil"/>
          <w:left w:val="nil"/>
          <w:bottom w:val="nil"/>
          <w:right w:val="nil"/>
          <w:between w:val="nil"/>
        </w:pBdr>
        <w:spacing w:after="200" w:line="276" w:lineRule="auto"/>
        <w:jc w:val="right"/>
        <w:rPr>
          <w:color w:val="000000"/>
          <w:sz w:val="24"/>
          <w:szCs w:val="24"/>
          <w:u w:val="single"/>
        </w:rPr>
      </w:pPr>
      <w:r>
        <w:rPr>
          <w:b/>
          <w:bCs/>
          <w:color w:val="000000"/>
          <w:sz w:val="24"/>
          <w:szCs w:val="24"/>
          <w:u w:val="single"/>
        </w:rPr>
        <w:t>LORO SEDI</w:t>
      </w:r>
    </w:p>
    <w:p w:rsidR="00BA6B2F" w:rsidRDefault="00433B6D">
      <w:pPr>
        <w:pStyle w:val="normal"/>
        <w:pBdr>
          <w:top w:val="nil"/>
          <w:left w:val="nil"/>
          <w:bottom w:val="nil"/>
          <w:right w:val="nil"/>
          <w:between w:val="nil"/>
        </w:pBdr>
        <w:spacing w:before="120" w:after="120"/>
        <w:rPr>
          <w:color w:val="000000"/>
          <w:sz w:val="24"/>
          <w:szCs w:val="24"/>
        </w:rPr>
      </w:pPr>
      <w:r>
        <w:rPr>
          <w:b/>
          <w:bCs/>
          <w:color w:val="000000"/>
          <w:sz w:val="24"/>
          <w:szCs w:val="24"/>
        </w:rPr>
        <w:t>Oggetto</w:t>
      </w:r>
      <w:r>
        <w:rPr>
          <w:color w:val="000000"/>
          <w:sz w:val="24"/>
          <w:szCs w:val="24"/>
        </w:rPr>
        <w:t xml:space="preserve">: Obblighi scuola-famiglia di sorveglianza sui minori. </w:t>
      </w:r>
    </w:p>
    <w:p w:rsidR="00BA6B2F" w:rsidRDefault="00433B6D">
      <w:pPr>
        <w:pStyle w:val="normal"/>
        <w:pBdr>
          <w:top w:val="nil"/>
          <w:left w:val="nil"/>
          <w:bottom w:val="nil"/>
          <w:right w:val="nil"/>
          <w:between w:val="nil"/>
        </w:pBdr>
        <w:spacing w:before="120" w:after="120"/>
        <w:rPr>
          <w:color w:val="000000"/>
          <w:sz w:val="24"/>
          <w:szCs w:val="24"/>
        </w:rPr>
      </w:pPr>
      <w:r>
        <w:rPr>
          <w:color w:val="000000"/>
          <w:sz w:val="24"/>
          <w:szCs w:val="24"/>
        </w:rPr>
        <w:t>Misura attuativa</w:t>
      </w:r>
    </w:p>
    <w:p w:rsidR="00BA6B2F" w:rsidRDefault="00433B6D">
      <w:pPr>
        <w:pStyle w:val="normal"/>
        <w:pBdr>
          <w:top w:val="nil"/>
          <w:left w:val="nil"/>
          <w:bottom w:val="nil"/>
          <w:right w:val="nil"/>
          <w:between w:val="nil"/>
        </w:pBdr>
        <w:spacing w:before="120" w:after="120"/>
        <w:jc w:val="center"/>
        <w:rPr>
          <w:color w:val="000000"/>
          <w:sz w:val="24"/>
          <w:szCs w:val="24"/>
        </w:rPr>
      </w:pPr>
      <w:r>
        <w:rPr>
          <w:b/>
          <w:bCs/>
          <w:color w:val="000000"/>
          <w:sz w:val="24"/>
          <w:szCs w:val="24"/>
        </w:rPr>
        <w:t>■■■</w:t>
      </w:r>
    </w:p>
    <w:p w:rsidR="00BA6B2F" w:rsidRDefault="00433B6D">
      <w:pPr>
        <w:pStyle w:val="normal"/>
        <w:pBdr>
          <w:top w:val="nil"/>
          <w:left w:val="nil"/>
          <w:bottom w:val="nil"/>
          <w:right w:val="nil"/>
          <w:between w:val="nil"/>
        </w:pBdr>
        <w:spacing w:before="120" w:after="120"/>
        <w:jc w:val="center"/>
        <w:rPr>
          <w:color w:val="000000"/>
          <w:sz w:val="24"/>
          <w:szCs w:val="24"/>
        </w:rPr>
      </w:pPr>
      <w:r>
        <w:rPr>
          <w:b/>
          <w:bCs/>
          <w:color w:val="000000"/>
          <w:sz w:val="24"/>
          <w:szCs w:val="24"/>
        </w:rPr>
        <w:t>La Dirigente Scolastica</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Vista la Costituzione della Repubblica Italiana, con particolare riferimento agli art.li 28 e 30;</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Visti gli art.li del Codice Civile, 1218, 2043, 2046, 2047, 2048, 2051, 2059;</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 xml:space="preserve">Vista la Legge n° 312/80; </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 xml:space="preserve">Visto il D. Lgs n° 297/94; </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Visto il D. Lgs n° 165/01;</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Considerate le disposizione per la materia di cui trattasi del CCNL vigente;</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Considerata la Legge 4 dicembre 2017, n. 172 che ha disposto la conversione con modificazioni, del decreto-legge 16 ottobre 2017, n. 148;</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Considerati gl</w:t>
      </w:r>
      <w:r>
        <w:rPr>
          <w:color w:val="000000"/>
          <w:sz w:val="24"/>
          <w:szCs w:val="24"/>
        </w:rPr>
        <w:t>i art.li del Codice Penale 40 ed ex 591;</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Considerato il Patto educativo di Corresponsabilità d’Istituto;</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Tenuto conto delle segnalazioni pervenute da parte dei docenti circa la sottrazione dell’obbligo di cui trattasi da parte di alcuni esercenti la respon</w:t>
      </w:r>
      <w:r>
        <w:rPr>
          <w:color w:val="000000"/>
          <w:sz w:val="24"/>
          <w:szCs w:val="24"/>
        </w:rPr>
        <w:t>sabilità genitoriale in occasione della conclusione delle attività scolastiche;</w:t>
      </w:r>
    </w:p>
    <w:p w:rsidR="00BA6B2F" w:rsidRDefault="00433B6D">
      <w:pPr>
        <w:pStyle w:val="normal"/>
        <w:numPr>
          <w:ilvl w:val="0"/>
          <w:numId w:val="1"/>
        </w:numPr>
        <w:pBdr>
          <w:top w:val="nil"/>
          <w:left w:val="nil"/>
          <w:bottom w:val="nil"/>
          <w:right w:val="nil"/>
          <w:between w:val="nil"/>
        </w:pBdr>
        <w:spacing w:before="120" w:after="120"/>
        <w:ind w:left="714" w:hanging="357"/>
        <w:jc w:val="both"/>
        <w:rPr>
          <w:color w:val="000000"/>
          <w:sz w:val="24"/>
          <w:szCs w:val="24"/>
        </w:rPr>
      </w:pPr>
      <w:r>
        <w:rPr>
          <w:color w:val="000000"/>
          <w:sz w:val="24"/>
          <w:szCs w:val="24"/>
        </w:rPr>
        <w:t>Tenuto conto della necessità di stabilire misure organizzative attuative della salvaguardia dei diritti e delle ragioni di tutti i soggetti coinvolti e utili per la garanzia de</w:t>
      </w:r>
      <w:r>
        <w:rPr>
          <w:color w:val="000000"/>
          <w:sz w:val="24"/>
          <w:szCs w:val="24"/>
        </w:rPr>
        <w:t>lla tutela dei minori;</w:t>
      </w:r>
    </w:p>
    <w:p w:rsidR="00BA6B2F" w:rsidRDefault="00BA6B2F">
      <w:pPr>
        <w:pStyle w:val="normal"/>
        <w:pBdr>
          <w:top w:val="nil"/>
          <w:left w:val="nil"/>
          <w:bottom w:val="nil"/>
          <w:right w:val="nil"/>
          <w:between w:val="nil"/>
        </w:pBdr>
        <w:spacing w:before="120" w:after="120"/>
        <w:ind w:left="714"/>
        <w:jc w:val="both"/>
        <w:rPr>
          <w:color w:val="000000"/>
          <w:sz w:val="24"/>
          <w:szCs w:val="24"/>
        </w:rPr>
      </w:pPr>
    </w:p>
    <w:p w:rsidR="00BA6B2F" w:rsidRDefault="00433B6D">
      <w:pPr>
        <w:pStyle w:val="normal"/>
        <w:pBdr>
          <w:top w:val="nil"/>
          <w:left w:val="nil"/>
          <w:bottom w:val="nil"/>
          <w:right w:val="nil"/>
          <w:between w:val="nil"/>
        </w:pBdr>
        <w:spacing w:before="120" w:after="120"/>
        <w:jc w:val="both"/>
        <w:rPr>
          <w:color w:val="000000"/>
          <w:sz w:val="24"/>
          <w:szCs w:val="24"/>
        </w:rPr>
      </w:pPr>
      <w:r>
        <w:rPr>
          <w:color w:val="000000"/>
          <w:sz w:val="24"/>
          <w:szCs w:val="24"/>
        </w:rPr>
        <w:t xml:space="preserve">con la presente </w:t>
      </w:r>
    </w:p>
    <w:p w:rsidR="00BA6B2F" w:rsidRDefault="00433B6D">
      <w:pPr>
        <w:pStyle w:val="normal"/>
        <w:pBdr>
          <w:top w:val="nil"/>
          <w:left w:val="nil"/>
          <w:bottom w:val="nil"/>
          <w:right w:val="nil"/>
          <w:between w:val="nil"/>
        </w:pBdr>
        <w:spacing w:before="120" w:after="120"/>
        <w:jc w:val="center"/>
        <w:rPr>
          <w:color w:val="000000"/>
          <w:sz w:val="24"/>
          <w:szCs w:val="24"/>
        </w:rPr>
      </w:pPr>
      <w:r>
        <w:rPr>
          <w:b/>
          <w:bCs/>
          <w:color w:val="000000"/>
          <w:sz w:val="24"/>
          <w:szCs w:val="24"/>
        </w:rPr>
        <w:t>RENDE NOTO AI DESTINATARI IN INDIRIZZO</w:t>
      </w:r>
    </w:p>
    <w:p w:rsidR="00BA6B2F" w:rsidRDefault="00433B6D">
      <w:pPr>
        <w:pStyle w:val="normal"/>
        <w:pBdr>
          <w:top w:val="nil"/>
          <w:left w:val="nil"/>
          <w:bottom w:val="nil"/>
          <w:right w:val="nil"/>
          <w:between w:val="nil"/>
        </w:pBdr>
        <w:spacing w:before="120" w:after="120"/>
        <w:jc w:val="both"/>
        <w:rPr>
          <w:color w:val="000000"/>
          <w:sz w:val="24"/>
          <w:szCs w:val="24"/>
        </w:rPr>
      </w:pPr>
      <w:r>
        <w:rPr>
          <w:color w:val="000000"/>
          <w:sz w:val="24"/>
          <w:szCs w:val="24"/>
        </w:rPr>
        <w:lastRenderedPageBreak/>
        <w:t xml:space="preserve">che l’obbligo di vigilanza del personale scolastico sugli allievi per tutto il tempo in cui questi sono affidati (Art. 2048 C.C.), è da intendersi riferito esclusivamente all’intero arco temporale dell’orario delle attività scolastiche. </w:t>
      </w:r>
    </w:p>
    <w:p w:rsidR="00BA6B2F" w:rsidRDefault="00433B6D">
      <w:pPr>
        <w:pStyle w:val="normal"/>
        <w:pBdr>
          <w:top w:val="nil"/>
          <w:left w:val="nil"/>
          <w:bottom w:val="nil"/>
          <w:right w:val="nil"/>
          <w:between w:val="nil"/>
        </w:pBdr>
        <w:spacing w:before="120" w:after="120"/>
        <w:jc w:val="both"/>
        <w:rPr>
          <w:color w:val="000000"/>
          <w:sz w:val="24"/>
          <w:szCs w:val="24"/>
        </w:rPr>
      </w:pPr>
      <w:r>
        <w:rPr>
          <w:color w:val="000000"/>
          <w:sz w:val="24"/>
          <w:szCs w:val="24"/>
        </w:rPr>
        <w:t>Tale obbligo si at</w:t>
      </w:r>
      <w:r>
        <w:rPr>
          <w:color w:val="000000"/>
          <w:sz w:val="24"/>
          <w:szCs w:val="24"/>
        </w:rPr>
        <w:t>tua in avvicendamento alla vigilanza esercitata da qualsiasi soggetto eserciti la responsabilità genitoriale sul minore, all’inizio ed al termine delle lezioni, nell’ambito degli spazi interni e/o esterni di pertinenza scolastica e riguarda in via preminen</w:t>
      </w:r>
      <w:r>
        <w:rPr>
          <w:color w:val="000000"/>
          <w:sz w:val="24"/>
          <w:szCs w:val="24"/>
        </w:rPr>
        <w:t>te il personale docente, con l’azione coadiuvante alla sorveglianza del personale A.T.A. del profilo “A”,</w:t>
      </w:r>
    </w:p>
    <w:p w:rsidR="00BA6B2F" w:rsidRDefault="00433B6D">
      <w:pPr>
        <w:pStyle w:val="normal"/>
        <w:pBdr>
          <w:top w:val="nil"/>
          <w:left w:val="nil"/>
          <w:bottom w:val="nil"/>
          <w:right w:val="nil"/>
          <w:between w:val="nil"/>
        </w:pBdr>
        <w:spacing w:before="120" w:after="120"/>
        <w:jc w:val="both"/>
        <w:rPr>
          <w:color w:val="000000"/>
          <w:sz w:val="24"/>
          <w:szCs w:val="24"/>
        </w:rPr>
      </w:pPr>
      <w:r>
        <w:rPr>
          <w:color w:val="000000"/>
          <w:sz w:val="24"/>
          <w:szCs w:val="24"/>
        </w:rPr>
        <w:t>Ai sensi degli artt. 2043-2048 c.c., la responsabilità della P.A., sussiste anche al di fuori dell’orario scolastico, se è stato consentito l’ingresso anticipato nella scuola o la sosta successiva (Cass. civile, sez. III, n. 1623/1994). Entro tale lasso di</w:t>
      </w:r>
      <w:r>
        <w:rPr>
          <w:color w:val="000000"/>
          <w:sz w:val="24"/>
          <w:szCs w:val="24"/>
        </w:rPr>
        <w:t xml:space="preserve"> tempo rientrano quindi non soltanto i momenti in cui si svolgono le attività strettamente didattiche ma anche tutti gli altri momenti della vita scolastica, ivi compreso quello della cosiddetta ricreazione, lo spostamento da un locale all’altro della scuo</w:t>
      </w:r>
      <w:r>
        <w:rPr>
          <w:color w:val="000000"/>
          <w:sz w:val="24"/>
          <w:szCs w:val="24"/>
        </w:rPr>
        <w:t xml:space="preserve">la, il servizio di mensa, le uscite, i viaggi di istruzione, etc. </w:t>
      </w:r>
    </w:p>
    <w:p w:rsidR="00BA6B2F" w:rsidRDefault="00433B6D">
      <w:pPr>
        <w:pStyle w:val="normal"/>
        <w:pBdr>
          <w:top w:val="nil"/>
          <w:left w:val="nil"/>
          <w:bottom w:val="nil"/>
          <w:right w:val="nil"/>
          <w:between w:val="nil"/>
        </w:pBdr>
        <w:spacing w:before="120" w:after="120"/>
        <w:jc w:val="both"/>
        <w:rPr>
          <w:color w:val="000000"/>
          <w:sz w:val="24"/>
          <w:szCs w:val="24"/>
        </w:rPr>
      </w:pPr>
      <w:r>
        <w:rPr>
          <w:color w:val="000000"/>
          <w:sz w:val="24"/>
          <w:szCs w:val="24"/>
        </w:rPr>
        <w:t>Gli insegnanti sono pertanto tenuti alla sorveglianza sugli alunni e rispondono della loro incolumità nell’esecuzione degli specifici obblighi di servizio definiti contrattualmente e quindi</w:t>
      </w:r>
      <w:r>
        <w:rPr>
          <w:color w:val="000000"/>
          <w:sz w:val="24"/>
          <w:szCs w:val="24"/>
        </w:rPr>
        <w:t xml:space="preserve"> in occasione delle attività definite di insegnamento (nelle quali rientrano le attività didattiche frontali, gli eventuali interventi didattici ed educativi integrativi, l’assistenza alla mensa e tutte le altre attività collegate al completamento dell’ora</w:t>
      </w:r>
      <w:r>
        <w:rPr>
          <w:color w:val="000000"/>
          <w:sz w:val="24"/>
          <w:szCs w:val="24"/>
        </w:rPr>
        <w:t xml:space="preserve">rio di servizio), così come durante i cinque minuti precedenti l’inizio delle lezioni, durante i quali sono tenuti a trovarsi in classe per accogliere e vigilare sugli alunni (art.27, CCNL del 24.07.2003). </w:t>
      </w:r>
    </w:p>
    <w:p w:rsidR="00BA6B2F" w:rsidRDefault="00433B6D">
      <w:pPr>
        <w:pStyle w:val="normal"/>
        <w:pBdr>
          <w:top w:val="nil"/>
          <w:left w:val="nil"/>
          <w:bottom w:val="nil"/>
          <w:right w:val="nil"/>
          <w:between w:val="nil"/>
        </w:pBdr>
        <w:spacing w:before="120" w:after="120"/>
        <w:jc w:val="both"/>
        <w:rPr>
          <w:color w:val="000000"/>
          <w:sz w:val="24"/>
          <w:szCs w:val="24"/>
        </w:rPr>
      </w:pPr>
      <w:r>
        <w:rPr>
          <w:color w:val="000000"/>
          <w:sz w:val="24"/>
          <w:szCs w:val="24"/>
        </w:rPr>
        <w:t>Nell’ambito dell’ampio dibattiti e della notevole</w:t>
      </w:r>
      <w:r>
        <w:rPr>
          <w:color w:val="000000"/>
          <w:sz w:val="24"/>
          <w:szCs w:val="24"/>
        </w:rPr>
        <w:t xml:space="preserve"> casistica giurisprudenziale, che è in continuo aggiornamento, si giunge al recente art. 19 bis della Legge 4 dicembre 2017, n. 172 che ha disposto la conversione con modificazioni, del decreto-legge 16 ottobre 2017, n. 148, </w:t>
      </w:r>
      <w:r>
        <w:rPr>
          <w:i/>
          <w:iCs/>
          <w:color w:val="000000"/>
          <w:sz w:val="24"/>
          <w:szCs w:val="24"/>
        </w:rPr>
        <w:t>(Disposizioni in materia di usc</w:t>
      </w:r>
      <w:r>
        <w:rPr>
          <w:i/>
          <w:iCs/>
          <w:color w:val="000000"/>
          <w:sz w:val="24"/>
          <w:szCs w:val="24"/>
        </w:rPr>
        <w:t xml:space="preserve">ita dei minori di 14 anni dai locali scolastici), </w:t>
      </w:r>
      <w:r>
        <w:rPr>
          <w:color w:val="000000"/>
          <w:sz w:val="24"/>
          <w:szCs w:val="24"/>
        </w:rPr>
        <w:t>che sembrerebbe aver posto termine alla questione. Tuttavia la specifica annotazione in esso contenuta circa la “</w:t>
      </w:r>
      <w:r>
        <w:rPr>
          <w:i/>
          <w:iCs/>
          <w:color w:val="000000"/>
          <w:sz w:val="24"/>
          <w:szCs w:val="24"/>
        </w:rPr>
        <w:t>considerazione dell’età di questi ultimi, del loro grado di autonomia e dello specifico conte</w:t>
      </w:r>
      <w:r>
        <w:rPr>
          <w:i/>
          <w:iCs/>
          <w:color w:val="000000"/>
          <w:sz w:val="24"/>
          <w:szCs w:val="24"/>
        </w:rPr>
        <w:t xml:space="preserve">sto”, </w:t>
      </w:r>
      <w:r>
        <w:rPr>
          <w:color w:val="000000"/>
          <w:sz w:val="24"/>
          <w:szCs w:val="24"/>
        </w:rPr>
        <w:t>rimanda alle Istituzioni scolastiche la necessità di disciplinare misure organizzative utili alla salvaguardia dei minori ed al rispetto degli obblighi normativi e contrattuali dei lavoratori.</w:t>
      </w:r>
    </w:p>
    <w:p w:rsidR="00BA6B2F" w:rsidRDefault="00433B6D">
      <w:pPr>
        <w:pStyle w:val="normal"/>
        <w:pBdr>
          <w:top w:val="nil"/>
          <w:left w:val="nil"/>
          <w:bottom w:val="nil"/>
          <w:right w:val="nil"/>
          <w:between w:val="nil"/>
        </w:pBdr>
        <w:spacing w:before="120" w:after="120"/>
        <w:jc w:val="both"/>
        <w:rPr>
          <w:color w:val="000000"/>
          <w:sz w:val="24"/>
          <w:szCs w:val="24"/>
        </w:rPr>
      </w:pPr>
      <w:r>
        <w:rPr>
          <w:color w:val="000000"/>
          <w:sz w:val="24"/>
          <w:szCs w:val="24"/>
        </w:rPr>
        <w:t xml:space="preserve">Ciò premesso si indica quale misura attuativa utile alla </w:t>
      </w:r>
      <w:r>
        <w:rPr>
          <w:color w:val="000000"/>
          <w:sz w:val="24"/>
          <w:szCs w:val="24"/>
        </w:rPr>
        <w:t>salvaguardia delle responsabilità oggettive e soggettive la seguente procedura:</w:t>
      </w:r>
    </w:p>
    <w:p w:rsidR="00BA6B2F" w:rsidRDefault="00433B6D">
      <w:pPr>
        <w:pStyle w:val="normal"/>
        <w:numPr>
          <w:ilvl w:val="0"/>
          <w:numId w:val="2"/>
        </w:numPr>
        <w:pBdr>
          <w:top w:val="nil"/>
          <w:left w:val="nil"/>
          <w:bottom w:val="nil"/>
          <w:right w:val="nil"/>
          <w:between w:val="nil"/>
        </w:pBdr>
        <w:spacing w:before="120" w:after="120"/>
        <w:jc w:val="both"/>
        <w:rPr>
          <w:color w:val="000000"/>
          <w:sz w:val="24"/>
          <w:szCs w:val="24"/>
        </w:rPr>
      </w:pPr>
      <w:r>
        <w:rPr>
          <w:color w:val="000000"/>
          <w:sz w:val="24"/>
          <w:szCs w:val="24"/>
        </w:rPr>
        <w:t>L’applicazione della normativa relativa all’autorizzazione della entrata/uscita autonoma dell’alunno minorenne;</w:t>
      </w:r>
    </w:p>
    <w:p w:rsidR="00BA6B2F" w:rsidRDefault="00433B6D">
      <w:pPr>
        <w:pStyle w:val="normal"/>
        <w:numPr>
          <w:ilvl w:val="0"/>
          <w:numId w:val="2"/>
        </w:numPr>
        <w:pBdr>
          <w:top w:val="nil"/>
          <w:left w:val="nil"/>
          <w:bottom w:val="nil"/>
          <w:right w:val="nil"/>
          <w:between w:val="nil"/>
        </w:pBdr>
        <w:spacing w:before="120" w:after="120"/>
        <w:jc w:val="both"/>
        <w:rPr>
          <w:color w:val="000000"/>
          <w:sz w:val="24"/>
          <w:szCs w:val="24"/>
        </w:rPr>
      </w:pPr>
      <w:r>
        <w:rPr>
          <w:color w:val="000000"/>
          <w:sz w:val="24"/>
          <w:szCs w:val="24"/>
        </w:rPr>
        <w:t>La corretta vigilanza degli alunni maggiorenni in tutti gli spaz</w:t>
      </w:r>
      <w:r>
        <w:rPr>
          <w:color w:val="000000"/>
          <w:sz w:val="24"/>
          <w:szCs w:val="24"/>
        </w:rPr>
        <w:t>i interni ed esterni dell’Istituto fino al completamento dell’orario curriculare di servizio</w:t>
      </w:r>
    </w:p>
    <w:p w:rsidR="00BA6B2F" w:rsidRDefault="00433B6D">
      <w:pPr>
        <w:pStyle w:val="normal"/>
        <w:pBdr>
          <w:top w:val="nil"/>
          <w:left w:val="nil"/>
          <w:bottom w:val="nil"/>
          <w:right w:val="nil"/>
          <w:between w:val="nil"/>
        </w:pBdr>
        <w:spacing w:before="120" w:after="120"/>
        <w:jc w:val="both"/>
        <w:rPr>
          <w:color w:val="000000"/>
          <w:sz w:val="24"/>
          <w:szCs w:val="24"/>
        </w:rPr>
      </w:pPr>
      <w:r>
        <w:rPr>
          <w:color w:val="000000"/>
          <w:sz w:val="24"/>
          <w:szCs w:val="24"/>
        </w:rPr>
        <w:t>Tanto si rende noto per un corretto rapporto Scuola-Famiglia.</w:t>
      </w:r>
    </w:p>
    <w:p w:rsidR="00BA6B2F" w:rsidRDefault="00433B6D">
      <w:pPr>
        <w:pStyle w:val="normal"/>
        <w:pBdr>
          <w:top w:val="nil"/>
          <w:left w:val="nil"/>
          <w:bottom w:val="nil"/>
          <w:right w:val="nil"/>
          <w:between w:val="nil"/>
        </w:pBdr>
        <w:spacing w:before="120" w:after="120"/>
        <w:jc w:val="both"/>
        <w:rPr>
          <w:color w:val="000000"/>
          <w:sz w:val="24"/>
          <w:szCs w:val="24"/>
        </w:rPr>
      </w:pPr>
      <w:r>
        <w:rPr>
          <w:color w:val="000000"/>
          <w:sz w:val="24"/>
          <w:szCs w:val="24"/>
        </w:rPr>
        <w:t xml:space="preserve">Alla presente si allega il modulo di autorizzazione entrata/uscita alunni minorenni da consegnare allo staff o da restituire via mail entro l’inizio delle lezioni. </w:t>
      </w:r>
    </w:p>
    <w:p w:rsidR="00BA6B2F" w:rsidRDefault="00BA6B2F">
      <w:pPr>
        <w:pStyle w:val="normal"/>
        <w:widowControl w:val="0"/>
        <w:pBdr>
          <w:top w:val="nil"/>
          <w:left w:val="nil"/>
          <w:bottom w:val="nil"/>
          <w:right w:val="nil"/>
          <w:between w:val="nil"/>
        </w:pBdr>
        <w:ind w:left="6946"/>
        <w:jc w:val="right"/>
        <w:rPr>
          <w:color w:val="000000"/>
          <w:sz w:val="24"/>
          <w:szCs w:val="24"/>
        </w:rPr>
      </w:pPr>
    </w:p>
    <w:p w:rsidR="00BA6B2F" w:rsidRDefault="00433B6D">
      <w:pPr>
        <w:pStyle w:val="normal"/>
        <w:widowControl w:val="0"/>
        <w:pBdr>
          <w:top w:val="nil"/>
          <w:left w:val="nil"/>
          <w:bottom w:val="nil"/>
          <w:right w:val="nil"/>
          <w:between w:val="nil"/>
        </w:pBdr>
        <w:ind w:left="6946"/>
        <w:jc w:val="right"/>
        <w:rPr>
          <w:color w:val="000000"/>
          <w:sz w:val="24"/>
          <w:szCs w:val="24"/>
        </w:rPr>
      </w:pPr>
      <w:r>
        <w:rPr>
          <w:b/>
          <w:bCs/>
          <w:color w:val="000000"/>
          <w:sz w:val="24"/>
          <w:szCs w:val="24"/>
        </w:rPr>
        <w:t>La  Dirigente scolastica</w:t>
      </w:r>
    </w:p>
    <w:p w:rsidR="00BA6B2F" w:rsidRDefault="00BA6B2F">
      <w:pPr>
        <w:pStyle w:val="normal"/>
        <w:widowControl w:val="0"/>
        <w:pBdr>
          <w:top w:val="nil"/>
          <w:left w:val="nil"/>
          <w:bottom w:val="nil"/>
          <w:right w:val="nil"/>
          <w:between w:val="nil"/>
        </w:pBdr>
        <w:spacing w:line="14" w:lineRule="auto"/>
        <w:ind w:left="6946"/>
        <w:jc w:val="right"/>
        <w:rPr>
          <w:color w:val="000000"/>
          <w:sz w:val="24"/>
          <w:szCs w:val="24"/>
        </w:rPr>
      </w:pPr>
    </w:p>
    <w:p w:rsidR="00BA6B2F" w:rsidRDefault="00433B6D">
      <w:pPr>
        <w:pStyle w:val="normal"/>
        <w:widowControl w:val="0"/>
        <w:pBdr>
          <w:top w:val="nil"/>
          <w:left w:val="nil"/>
          <w:bottom w:val="nil"/>
          <w:right w:val="nil"/>
          <w:between w:val="nil"/>
        </w:pBdr>
        <w:ind w:left="6946"/>
        <w:jc w:val="right"/>
        <w:rPr>
          <w:color w:val="000000"/>
          <w:sz w:val="24"/>
          <w:szCs w:val="24"/>
        </w:rPr>
      </w:pPr>
      <w:r>
        <w:rPr>
          <w:color w:val="000000"/>
          <w:sz w:val="24"/>
          <w:szCs w:val="24"/>
        </w:rPr>
        <w:t>Prof.ssa  Angela De Carlo</w:t>
      </w:r>
    </w:p>
    <w:p w:rsidR="00BA6B2F" w:rsidRDefault="00BA6B2F">
      <w:pPr>
        <w:pStyle w:val="normal"/>
        <w:widowControl w:val="0"/>
        <w:pBdr>
          <w:top w:val="nil"/>
          <w:left w:val="nil"/>
          <w:bottom w:val="nil"/>
          <w:right w:val="nil"/>
          <w:between w:val="nil"/>
        </w:pBdr>
        <w:spacing w:line="45" w:lineRule="auto"/>
        <w:jc w:val="right"/>
        <w:rPr>
          <w:color w:val="000000"/>
          <w:sz w:val="24"/>
          <w:szCs w:val="24"/>
        </w:rPr>
      </w:pPr>
    </w:p>
    <w:p w:rsidR="00BA6B2F" w:rsidRDefault="00433B6D">
      <w:pPr>
        <w:pStyle w:val="normal"/>
        <w:widowControl w:val="0"/>
        <w:pBdr>
          <w:top w:val="nil"/>
          <w:left w:val="nil"/>
          <w:bottom w:val="nil"/>
          <w:right w:val="nil"/>
          <w:between w:val="nil"/>
        </w:pBdr>
        <w:ind w:left="3969" w:hanging="1559"/>
        <w:jc w:val="right"/>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14"/>
          <w:szCs w:val="14"/>
        </w:rPr>
        <w:t>(Firma autografa sostituita a mezzo stampa ai sensi dell’ex art. 3 comma 2 D.lgs n° 9/93)</w:t>
      </w:r>
    </w:p>
    <w:sectPr w:rsidR="00BA6B2F" w:rsidSect="00BA6B2F">
      <w:footerReference w:type="even" r:id="rId15"/>
      <w:footerReference w:type="default" r:id="rId16"/>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B6D" w:rsidRDefault="00433B6D" w:rsidP="00BA6B2F">
      <w:r>
        <w:separator/>
      </w:r>
    </w:p>
  </w:endnote>
  <w:endnote w:type="continuationSeparator" w:id="1">
    <w:p w:rsidR="00433B6D" w:rsidRDefault="00433B6D" w:rsidP="00BA6B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1" w:fontKey="{5E274946-E36C-4683-88AB-80A79688CB82}"/>
    <w:embedBold r:id="rId2" w:fontKey="{9A030AB7-ABEA-4BDB-9581-9931C2202CEB}"/>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embedRegular r:id="rId3" w:fontKey="{E2974769-9A93-439D-9377-25583922E5B4}"/>
    <w:embedBold r:id="rId4" w:fontKey="{90DD30A5-495B-4865-BE35-75F21B331A4D}"/>
  </w:font>
  <w:font w:name="Georgia">
    <w:panose1 w:val="02040502050405020303"/>
    <w:charset w:val="00"/>
    <w:family w:val="auto"/>
    <w:pitch w:val="default"/>
    <w:sig w:usb0="00000000" w:usb1="00000000" w:usb2="00000000" w:usb3="00000000" w:csb0="00000000" w:csb1="00000000"/>
    <w:embedItalic r:id="rId5" w:fontKey="{40068817-60DD-4008-BF10-72A48D8E60D0}"/>
  </w:font>
  <w:font w:name="Tahoma">
    <w:panose1 w:val="020B0604030504040204"/>
    <w:charset w:val="00"/>
    <w:family w:val="swiss"/>
    <w:pitch w:val="variable"/>
    <w:sig w:usb0="E1002EFF" w:usb1="C000605B" w:usb2="00000029" w:usb3="00000000" w:csb0="000101FF" w:csb1="00000000"/>
    <w:embedRegular r:id="rId6" w:fontKey="{735EA2AF-B0EE-44AF-8F02-7E42CEA2847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7" w:fontKey="{30D02EB1-B6FF-4E6D-BDEF-B8A9F3B6C524}"/>
    <w:embedBold r:id="rId8" w:fontKey="{EE182F3E-CEC5-4D81-BDFD-CFF3933DC840}"/>
  </w:font>
  <w:font w:name="Cambria">
    <w:panose1 w:val="02040503050406030204"/>
    <w:charset w:val="00"/>
    <w:family w:val="roman"/>
    <w:pitch w:val="variable"/>
    <w:sig w:usb0="E00006FF" w:usb1="420024FF" w:usb2="02000000" w:usb3="00000000" w:csb0="0000019F" w:csb1="00000000"/>
    <w:embedRegular r:id="rId9" w:fontKey="{F8079E2A-B8CE-4D23-BCE8-663A4BE4488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B2F" w:rsidRDefault="00BA6B2F">
    <w:pPr>
      <w:pStyle w:val="normal"/>
      <w:pBdr>
        <w:top w:val="nil"/>
        <w:left w:val="nil"/>
        <w:bottom w:val="nil"/>
        <w:right w:val="nil"/>
        <w:between w:val="nil"/>
      </w:pBdr>
      <w:tabs>
        <w:tab w:val="center" w:pos="4819"/>
        <w:tab w:val="right" w:pos="9638"/>
      </w:tabs>
      <w:spacing w:after="200" w:line="276" w:lineRule="auto"/>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433B6D">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p w:rsidR="00BA6B2F" w:rsidRDefault="00BA6B2F">
    <w:pPr>
      <w:pStyle w:val="normal"/>
      <w:pBdr>
        <w:top w:val="nil"/>
        <w:left w:val="nil"/>
        <w:bottom w:val="nil"/>
        <w:right w:val="nil"/>
        <w:between w:val="nil"/>
      </w:pBdr>
      <w:tabs>
        <w:tab w:val="center" w:pos="4819"/>
        <w:tab w:val="right" w:pos="9638"/>
      </w:tabs>
      <w:spacing w:after="200" w:line="276" w:lineRule="auto"/>
      <w:ind w:right="360"/>
      <w:rPr>
        <w:rFonts w:ascii="Calibri" w:eastAsia="Calibri" w:hAnsi="Calibri" w:cs="Calibri"/>
        <w:color w:val="000000"/>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B2F" w:rsidRDefault="00BA6B2F">
    <w:pPr>
      <w:pStyle w:val="normal"/>
      <w:pBdr>
        <w:top w:val="nil"/>
        <w:left w:val="nil"/>
        <w:bottom w:val="nil"/>
        <w:right w:val="nil"/>
        <w:between w:val="nil"/>
      </w:pBdr>
      <w:tabs>
        <w:tab w:val="center" w:pos="4819"/>
        <w:tab w:val="right" w:pos="9638"/>
      </w:tabs>
      <w:spacing w:after="200" w:line="276" w:lineRule="auto"/>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433B6D">
      <w:rPr>
        <w:rFonts w:ascii="Calibri" w:eastAsia="Calibri" w:hAnsi="Calibri" w:cs="Calibri"/>
        <w:color w:val="000000"/>
        <w:sz w:val="22"/>
        <w:szCs w:val="22"/>
      </w:rPr>
      <w:instrText>PAGE</w:instrText>
    </w:r>
    <w:r w:rsidR="00EA6807">
      <w:rPr>
        <w:rFonts w:ascii="Calibri" w:eastAsia="Calibri" w:hAnsi="Calibri" w:cs="Calibri"/>
        <w:color w:val="000000"/>
        <w:sz w:val="22"/>
        <w:szCs w:val="22"/>
      </w:rPr>
      <w:fldChar w:fldCharType="separate"/>
    </w:r>
    <w:r w:rsidR="00EA6807">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rsidR="00BA6B2F" w:rsidRDefault="00BA6B2F">
    <w:pPr>
      <w:pStyle w:val="normal"/>
      <w:pBdr>
        <w:top w:val="nil"/>
        <w:left w:val="nil"/>
        <w:bottom w:val="nil"/>
        <w:right w:val="nil"/>
        <w:between w:val="nil"/>
      </w:pBdr>
      <w:tabs>
        <w:tab w:val="center" w:pos="4819"/>
        <w:tab w:val="right" w:pos="9638"/>
      </w:tabs>
      <w:spacing w:after="200" w:line="276" w:lineRule="auto"/>
      <w:ind w:right="360"/>
      <w:rPr>
        <w:rFonts w:ascii="Calibri" w:eastAsia="Calibri" w:hAnsi="Calibri" w:cs="Calibri"/>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B6D" w:rsidRDefault="00433B6D" w:rsidP="00BA6B2F">
      <w:r>
        <w:separator/>
      </w:r>
    </w:p>
  </w:footnote>
  <w:footnote w:type="continuationSeparator" w:id="1">
    <w:p w:rsidR="00433B6D" w:rsidRDefault="00433B6D" w:rsidP="00BA6B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53087"/>
    <w:multiLevelType w:val="multilevel"/>
    <w:tmpl w:val="E7B25A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764044D1"/>
    <w:multiLevelType w:val="multilevel"/>
    <w:tmpl w:val="3AA66F02"/>
    <w:lvl w:ilvl="0">
      <w:numFmt w:val="bullet"/>
      <w:lvlText w:val="-"/>
      <w:lvlJc w:val="left"/>
      <w:pPr>
        <w:ind w:left="720" w:hanging="360"/>
      </w:pPr>
      <w:rPr>
        <w:rFonts w:ascii="Bookman Old Style" w:eastAsia="Bookman Old Style" w:hAnsi="Bookman Old Style" w:cs="Bookman Old Style"/>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283"/>
  <w:characterSpacingControl w:val="doNotCompress"/>
  <w:footnotePr>
    <w:footnote w:id="0"/>
    <w:footnote w:id="1"/>
  </w:footnotePr>
  <w:endnotePr>
    <w:endnote w:id="0"/>
    <w:endnote w:id="1"/>
  </w:endnotePr>
  <w:compat/>
  <w:rsids>
    <w:rsidRoot w:val="00BA6B2F"/>
    <w:rsid w:val="00433B6D"/>
    <w:rsid w:val="00BA6B2F"/>
    <w:rsid w:val="00EA680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BA6B2F"/>
    <w:pPr>
      <w:keepNext/>
      <w:keepLines/>
      <w:spacing w:before="480" w:after="120"/>
      <w:outlineLvl w:val="0"/>
    </w:pPr>
    <w:rPr>
      <w:b/>
      <w:bCs/>
      <w:sz w:val="48"/>
      <w:szCs w:val="48"/>
    </w:rPr>
  </w:style>
  <w:style w:type="paragraph" w:styleId="Titolo2">
    <w:name w:val="heading 2"/>
    <w:basedOn w:val="normal"/>
    <w:next w:val="normal"/>
    <w:rsid w:val="00BA6B2F"/>
    <w:pPr>
      <w:keepNext/>
      <w:keepLines/>
      <w:spacing w:before="360" w:after="80"/>
      <w:outlineLvl w:val="1"/>
    </w:pPr>
    <w:rPr>
      <w:b/>
      <w:bCs/>
      <w:sz w:val="36"/>
      <w:szCs w:val="36"/>
    </w:rPr>
  </w:style>
  <w:style w:type="paragraph" w:styleId="Titolo3">
    <w:name w:val="heading 3"/>
    <w:basedOn w:val="normal"/>
    <w:next w:val="normal"/>
    <w:rsid w:val="00BA6B2F"/>
    <w:pPr>
      <w:keepNext/>
      <w:keepLines/>
      <w:spacing w:before="280" w:after="80"/>
      <w:outlineLvl w:val="2"/>
    </w:pPr>
    <w:rPr>
      <w:b/>
      <w:bCs/>
      <w:sz w:val="28"/>
      <w:szCs w:val="28"/>
    </w:rPr>
  </w:style>
  <w:style w:type="paragraph" w:styleId="Titolo4">
    <w:name w:val="heading 4"/>
    <w:basedOn w:val="normal"/>
    <w:next w:val="normal"/>
    <w:rsid w:val="00BA6B2F"/>
    <w:pPr>
      <w:keepNext/>
      <w:keepLines/>
      <w:spacing w:before="240" w:after="40"/>
      <w:outlineLvl w:val="3"/>
    </w:pPr>
    <w:rPr>
      <w:b/>
      <w:bCs/>
      <w:sz w:val="24"/>
      <w:szCs w:val="24"/>
    </w:rPr>
  </w:style>
  <w:style w:type="paragraph" w:styleId="Titolo5">
    <w:name w:val="heading 5"/>
    <w:basedOn w:val="normal"/>
    <w:next w:val="normal"/>
    <w:rsid w:val="00BA6B2F"/>
    <w:pPr>
      <w:keepNext/>
      <w:keepLines/>
      <w:spacing w:before="220" w:after="40"/>
      <w:outlineLvl w:val="4"/>
    </w:pPr>
    <w:rPr>
      <w:b/>
      <w:bCs/>
      <w:sz w:val="22"/>
      <w:szCs w:val="22"/>
    </w:rPr>
  </w:style>
  <w:style w:type="paragraph" w:styleId="Titolo6">
    <w:name w:val="heading 6"/>
    <w:basedOn w:val="normal"/>
    <w:next w:val="normal"/>
    <w:rsid w:val="00BA6B2F"/>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BA6B2F"/>
    <w:tblPr>
      <w:tblCellMar>
        <w:top w:w="100" w:type="dxa"/>
        <w:left w:w="100" w:type="dxa"/>
        <w:bottom w:w="100" w:type="dxa"/>
        <w:right w:w="100" w:type="dxa"/>
      </w:tblCellMar>
    </w:tblPr>
  </w:style>
  <w:style w:type="paragraph" w:customStyle="1" w:styleId="normal">
    <w:name w:val="normal"/>
    <w:rsid w:val="00BA6B2F"/>
  </w:style>
  <w:style w:type="paragraph" w:styleId="Titolo">
    <w:name w:val="Title"/>
    <w:basedOn w:val="normal"/>
    <w:next w:val="normal"/>
    <w:rsid w:val="00BA6B2F"/>
    <w:pPr>
      <w:keepNext/>
      <w:keepLines/>
      <w:spacing w:before="480" w:after="120"/>
    </w:pPr>
    <w:rPr>
      <w:b/>
      <w:bCs/>
      <w:sz w:val="72"/>
      <w:szCs w:val="72"/>
    </w:rPr>
  </w:style>
  <w:style w:type="paragraph" w:styleId="Sottotitolo">
    <w:name w:val="Subtitle"/>
    <w:basedOn w:val="normal"/>
    <w:next w:val="normal"/>
    <w:rsid w:val="00BA6B2F"/>
    <w:pPr>
      <w:keepNext/>
      <w:keepLines/>
      <w:spacing w:before="360" w:after="80"/>
    </w:pPr>
    <w:rPr>
      <w:rFonts w:ascii="Georgia" w:eastAsia="Georgia" w:hAnsi="Georgia" w:cs="Georgia"/>
      <w:i/>
      <w:iCs/>
      <w:color w:val="666666"/>
      <w:sz w:val="48"/>
      <w:szCs w:val="48"/>
    </w:rPr>
  </w:style>
  <w:style w:type="table" w:customStyle="1" w:styleId="a">
    <w:basedOn w:val="TableNormal"/>
    <w:rsid w:val="00BA6B2F"/>
    <w:tblPr>
      <w:tblStyleRowBandSize w:val="1"/>
      <w:tblStyleColBandSize w:val="1"/>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A680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68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SIS014008@pec.istruzione.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S014008@istruzione.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STOPDzn+xnSzV1TKTg3gubTglA==">CgMxLjA4AHIhMXoxTVFOREVuc3o1LTFPbVVGZkRSZmlMaDdEMlNzMXZv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4623</Characters>
  <Application>Microsoft Office Word</Application>
  <DocSecurity>0</DocSecurity>
  <Lines>38</Lines>
  <Paragraphs>10</Paragraphs>
  <ScaleCrop>false</ScaleCrop>
  <Company/>
  <LinksUpToDate>false</LinksUpToDate>
  <CharactersWithSpaces>5423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2026-09-01T13:17:00Z</dcterms:created>
  <dcterms:modified xsi:type="dcterms:W3CDTF">2026-09-01T13:17:00Z</dcterms:modified>
</cp:coreProperties>
</file>